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0A2A2A" w:rsidRDefault="000A2A2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l-GR"/>
                                    </w:rPr>
                                    <w:t>Ευρώπη για τους πολίτες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0A2A2A" w:rsidRDefault="000A2A2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l-GR"/>
                              </w:rPr>
                              <w:t>Ευρώπη για τους πολίτες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D118C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0A2A2A" w:rsidRDefault="000A2A2A" w:rsidP="00FA225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σχέδιο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 w:rsidR="00B13CE9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«</w:t>
            </w:r>
            <w:r w:rsidR="007D118C">
              <w:rPr>
                <w:rFonts w:ascii="Arial" w:hAnsi="Arial" w:cs="Arial"/>
                <w:b/>
                <w:sz w:val="32"/>
                <w:szCs w:val="32"/>
                <w:lang w:val="el-GR"/>
              </w:rPr>
              <w:t>Αινείας- Σύμφωνο Φιλίας μεταξύ τ</w:t>
            </w:r>
            <w:r w:rsidR="00FA225E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ου Δήμου </w:t>
            </w:r>
            <w:r w:rsidR="007D118C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Σαμοθράκης και του</w:t>
            </w:r>
            <w:r w:rsidR="00FA225E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 w:rsidR="007D118C">
              <w:rPr>
                <w:rFonts w:ascii="Arial" w:hAnsi="Arial" w:cs="Arial"/>
                <w:b/>
                <w:sz w:val="32"/>
                <w:szCs w:val="32"/>
                <w:lang w:val="el-GR"/>
              </w:rPr>
              <w:t>1ου Δημοτικού Διαμερίσματος της Ρώμης</w:t>
            </w:r>
            <w:r w:rsidR="00B13CE9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»</w:t>
            </w:r>
            <w:r w:rsidR="00082262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χρηματοδοτήθηκε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από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την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Ευρωπαϊκή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Ένωση 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στο πλαίσιο του προγράμματος «Ευρώπη για τους πολίτες»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0A2A2A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el-GR"/>
              </w:rPr>
            </w:pPr>
          </w:p>
        </w:tc>
      </w:tr>
      <w:tr w:rsidR="00750C7E" w:rsidRPr="007D11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0A2A2A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el-GR"/>
              </w:rPr>
            </w:pPr>
          </w:p>
        </w:tc>
      </w:tr>
      <w:tr w:rsidR="00750C7E" w:rsidRPr="007D118C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E650E" w:rsidRDefault="00CE650E" w:rsidP="00CE650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i/>
                <w:sz w:val="24"/>
                <w:szCs w:val="24"/>
                <w:lang w:val="el-GR" w:eastAsia="en-GB"/>
              </w:rPr>
            </w:pP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Μέτρο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2.1: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Αδελφοποίηση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πόλεων</w:t>
            </w:r>
          </w:p>
        </w:tc>
      </w:tr>
      <w:tr w:rsidR="00750C7E" w:rsidRPr="007D11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46A35" w:rsidRDefault="00734904" w:rsidP="00734904">
            <w:pPr>
              <w:jc w:val="both"/>
              <w:rPr>
                <w:b/>
                <w:lang w:val="el-GR"/>
              </w:rPr>
            </w:pPr>
          </w:p>
          <w:p w:rsidR="0035507A" w:rsidRPr="00FA225E" w:rsidRDefault="00346A35" w:rsidP="0035507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Συμμετοχή</w:t>
            </w:r>
            <w:r w:rsidR="00750C7E"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: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το σχέδιο</w:t>
            </w:r>
            <w:r w:rsidR="00B31E4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801884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επέτρεψε τη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συγκέντρωση</w:t>
            </w:r>
            <w:r w:rsidR="0035507A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50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πολιτών</w:t>
            </w:r>
            <w:r w:rsidR="0035507A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εκ των οποίων οι</w:t>
            </w:r>
            <w:r w:rsidR="0035507A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25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προέρχονταν από την πόλη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της Ρώμης</w:t>
            </w:r>
            <w:r w:rsid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Ιταλία</w:t>
            </w:r>
            <w:r w:rsid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</w:t>
            </w:r>
            <w:r w:rsidR="0035507A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25</w:t>
            </w:r>
            <w:r w:rsidR="0035507A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από την πόλη</w:t>
            </w:r>
            <w:r w:rsidR="0035507A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της Σαμοθράκης Ελλάδα</w:t>
            </w:r>
            <w:r w:rsid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.</w:t>
            </w:r>
          </w:p>
          <w:p w:rsidR="00C108DB" w:rsidRPr="00FA225E" w:rsidRDefault="00C108DB" w:rsidP="00C108D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</w:p>
          <w:p w:rsidR="00C108DB" w:rsidRPr="00FA225E" w:rsidRDefault="00346A35" w:rsidP="00C108DB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Τόπος</w:t>
            </w:r>
            <w:r w:rsidR="00C108DB"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/</w:t>
            </w:r>
            <w:r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Ημερομηνίες</w:t>
            </w:r>
            <w:r w:rsidR="00C108DB"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: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η συνάντηση έλαβε χώρα στη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Σαμοθράκη, Ελλάδα από τις 22/9/2017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έως</w:t>
            </w:r>
            <w:r w:rsidR="00BA0BF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8620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τις</w:t>
            </w:r>
            <w:r w:rsidR="00BA0BF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2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6/9/2017</w:t>
            </w:r>
          </w:p>
          <w:p w:rsidR="00750C7E" w:rsidRPr="00FA225E" w:rsidRDefault="00750C7E" w:rsidP="0073490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</w:p>
          <w:p w:rsidR="00750C7E" w:rsidRPr="00FA225E" w:rsidRDefault="00346A35" w:rsidP="0073490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Συνοπτική περιγραφή</w:t>
            </w:r>
            <w:r w:rsidR="00750C7E" w:rsidRPr="00FA225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:</w:t>
            </w:r>
          </w:p>
          <w:p w:rsidR="00BA0BFC" w:rsidRPr="00FA225E" w:rsidRDefault="00BA0BFC" w:rsidP="0073490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</w:p>
          <w:p w:rsidR="00734904" w:rsidRPr="00FA225E" w:rsidRDefault="00346A35" w:rsidP="00734904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Η ημερίδα της</w:t>
            </w:r>
            <w:r w:rsidR="00BA0BF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22/9/2017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ήταν αφιερωμένη</w:t>
            </w:r>
            <w:r w:rsidR="00734904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στην παρουσίαση του Συμφώνου Φιλίας που υπεγράφη στη Ρώμη τον Μάιο του 2017 και την παρουσίαση τ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ου προγράμματος Ευρώπη για τους Πολίτες,   τ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ων συμμετεχόντων και του τόπου φιλοξενίας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.</w:t>
            </w:r>
            <w:r w:rsidR="00750C7E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  <w:p w:rsidR="00BA0BFC" w:rsidRPr="00FA225E" w:rsidRDefault="00346A35" w:rsidP="00BA0BFC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Η ημερίδα της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23/9/2017</w:t>
            </w:r>
            <w:r w:rsidR="0029004B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ήταν αφιερωμένη σ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την παρ</w:t>
            </w:r>
            <w:bookmarkStart w:id="0" w:name="_GoBack"/>
            <w:bookmarkEnd w:id="0"/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ουσίαση της φυσικής κληρονομίας 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της Σαμοθράκης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των διάσημων μονοπατιών τ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ης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περιλάμβανε 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n-US"/>
              </w:rPr>
              <w:t>trekking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στο μονοπάτι του Φονιά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ε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νώ το απογευματινό σκέλος περιλάμβανε δράση εικαστικών με θέμα τη 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‘’</w:t>
            </w:r>
            <w:r w:rsidR="007D118C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Νίκη της Σαμοθράκης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’’</w:t>
            </w:r>
            <w:r w:rsidR="00BA0BFC" w:rsidRPr="00FA225E">
              <w:rPr>
                <w:rFonts w:asciiTheme="minorHAnsi" w:hAnsiTheme="minorHAnsi" w:cs="Arial"/>
                <w:sz w:val="22"/>
                <w:szCs w:val="22"/>
                <w:lang w:val="fr-BE"/>
              </w:rPr>
              <w:t>.</w:t>
            </w:r>
          </w:p>
          <w:p w:rsidR="007D118C" w:rsidRPr="00FA225E" w:rsidRDefault="007D118C" w:rsidP="00BA0BF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Η ημερίδα της 24/9/2017 ήταν αφιερωμένη στην παρουσίαση της πολιτιστικής κληρονομιάς του τόπου και περιλάμβανε επίσκεψη και ξενάγηση στον Αρχαιολογικό χώρο Παλαιάπολης όπου και συνδέθηκαν ιστορικά οι δύο τόποι (Ρώμη και Σαμοθράκη)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μέσα από 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τ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α Καβείρια Μυστήρια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. (Ο 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</w:rPr>
              <w:t>Cassius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</w:rPr>
              <w:t>Hemina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τον 2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  <w:vertAlign w:val="superscript"/>
                <w:lang w:val="el-GR"/>
              </w:rPr>
              <w:t>ο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αι. π. Χ. ισχυριζόταν ότι ο Αινείας έφερε τους 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</w:rPr>
              <w:t>Penates</w:t>
            </w:r>
            <w:r w:rsidR="00FA225E" w:rsidRPr="00FA225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στη Ρώμη κατευθείαν από τη Σαμοθράκη). Τ</w:t>
            </w:r>
            <w:r w:rsidR="00FA225E"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ο απογευματινό σκέλος περιλάμβανε δράση παραδοσιακών χορών και επίσκεψη στο δημοτικό υδροθεραπευτήριο</w:t>
            </w:r>
          </w:p>
          <w:p w:rsidR="00FA225E" w:rsidRPr="00FA225E" w:rsidRDefault="00FA225E" w:rsidP="00BA0BF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Η ημερίδα της 25/9/2017 ήταν αφιερωμένη στα εκπαιδευτικά συστήματα των δύο χωρών και πραγματοποιήθηκε στο Λύκειο Σαμοθράκης όπου και αναδείχτηκαν με διαδραστικό τρόπο οι ομοιότητες και οι διαφορές των δύο 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εκπαιδευτικών στυστημάτων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. Το απογευματινό σκέλος ήταν αφιερωμένο στη θεματική 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‘’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Ευρώπη και Μέλλον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>’’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περιλάμβανε παιχνίδια και ανταλλαγή απόψεων</w:t>
            </w:r>
            <w:r w:rsidR="008B211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σχετικά με την Ευρωπαϊκή Ένωση τις αρχές της τους στόχους της και τα ερωτηματικά σχετικά με το μέλλον της.</w:t>
            </w:r>
          </w:p>
          <w:p w:rsidR="00FA225E" w:rsidRPr="00FA225E" w:rsidRDefault="00FA225E" w:rsidP="00BA0BF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>Η ημερίδα της 26/9/2017 ήταν αφιερωμένη στην αξιολόγηση του προγράμματος και τον σχεδιασμό μελλοντικών δράσεων ωστόσο διεξήχθη με τα προβλήματα της θεομηνίας που έπληξε το νησί το βράδυ της 25</w:t>
            </w:r>
            <w:r w:rsidRPr="00FA225E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ης</w:t>
            </w:r>
            <w:r w:rsidRPr="00FA225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Σεπτεμβρίου 2017 και έθεσε σε εφαρμογή σχέδιο ασφαλούς μετάβασης των επισκεπτών στο λιμάνι για την προγραμματισμένη αναχώρησή τους για Αλεξανδρούπολη.   </w:t>
            </w:r>
          </w:p>
          <w:p w:rsidR="00734904" w:rsidRPr="007D118C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l-GR" w:eastAsia="en-GB"/>
              </w:rPr>
            </w:pPr>
          </w:p>
        </w:tc>
      </w:tr>
    </w:tbl>
    <w:p w:rsidR="00D0280B" w:rsidRPr="00750C7E" w:rsidRDefault="00D0280B" w:rsidP="0029004B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9E" w:rsidRDefault="00E32F9E" w:rsidP="00E81594">
      <w:r>
        <w:separator/>
      </w:r>
    </w:p>
  </w:endnote>
  <w:endnote w:type="continuationSeparator" w:id="0">
    <w:p w:rsidR="00E32F9E" w:rsidRDefault="00E32F9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9E" w:rsidRDefault="00E32F9E" w:rsidP="00E81594">
      <w:r>
        <w:separator/>
      </w:r>
    </w:p>
  </w:footnote>
  <w:footnote w:type="continuationSeparator" w:id="0">
    <w:p w:rsidR="00E32F9E" w:rsidRDefault="00E32F9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2A2A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41AD5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D4037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004B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6A35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33BE"/>
    <w:rsid w:val="003B418E"/>
    <w:rsid w:val="003B69DE"/>
    <w:rsid w:val="003D084C"/>
    <w:rsid w:val="003D6A52"/>
    <w:rsid w:val="003E3A7C"/>
    <w:rsid w:val="003E75B6"/>
    <w:rsid w:val="003E7BE7"/>
    <w:rsid w:val="00416096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D118C"/>
    <w:rsid w:val="007E16EC"/>
    <w:rsid w:val="007E587C"/>
    <w:rsid w:val="007F3C13"/>
    <w:rsid w:val="007F4F39"/>
    <w:rsid w:val="007F5D3D"/>
    <w:rsid w:val="00801884"/>
    <w:rsid w:val="008442A8"/>
    <w:rsid w:val="0085762E"/>
    <w:rsid w:val="0086208C"/>
    <w:rsid w:val="008621CC"/>
    <w:rsid w:val="00864042"/>
    <w:rsid w:val="00870B8A"/>
    <w:rsid w:val="0087366A"/>
    <w:rsid w:val="008805FC"/>
    <w:rsid w:val="00883765"/>
    <w:rsid w:val="00885502"/>
    <w:rsid w:val="00885C45"/>
    <w:rsid w:val="00893B51"/>
    <w:rsid w:val="008A5268"/>
    <w:rsid w:val="008B2112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5F0B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5A9C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102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E650E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52B2"/>
    <w:rsid w:val="00DC33C7"/>
    <w:rsid w:val="00DD0906"/>
    <w:rsid w:val="00DD7AC2"/>
    <w:rsid w:val="00DE01C2"/>
    <w:rsid w:val="00DE4207"/>
    <w:rsid w:val="00E0735A"/>
    <w:rsid w:val="00E32F9E"/>
    <w:rsid w:val="00E336C8"/>
    <w:rsid w:val="00E645AB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C79FE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225E"/>
    <w:rsid w:val="00FA353E"/>
    <w:rsid w:val="00FB39B9"/>
    <w:rsid w:val="00FB4991"/>
    <w:rsid w:val="00FB4EAF"/>
    <w:rsid w:val="00FB7C2F"/>
    <w:rsid w:val="00FD2A7C"/>
    <w:rsid w:val="00FD2AE8"/>
    <w:rsid w:val="00FE27A6"/>
    <w:rsid w:val="00FE2853"/>
    <w:rsid w:val="00FE4F68"/>
    <w:rsid w:val="00FE757C"/>
    <w:rsid w:val="00FF1F77"/>
    <w:rsid w:val="00FF39C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66BD5"/>
  <w15:docId w15:val="{BCF2BEEE-D0C3-4700-9FB9-0B0F729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0part">
    <w:name w:val="youth.af.0.part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a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a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-">
    <w:name w:val="Hyperlink"/>
    <w:basedOn w:val="a0"/>
    <w:rsid w:val="00C7191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5">
    <w:name w:val="footnote reference"/>
    <w:basedOn w:val="a0"/>
    <w:uiPriority w:val="99"/>
    <w:semiHidden/>
    <w:rsid w:val="00E81594"/>
    <w:rPr>
      <w:rFonts w:cs="Times New Roman"/>
      <w:vertAlign w:val="superscript"/>
    </w:rPr>
  </w:style>
  <w:style w:type="paragraph" w:styleId="Web">
    <w:name w:val="Normal (Web)"/>
    <w:basedOn w:val="a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a6">
    <w:name w:val="Strong"/>
    <w:basedOn w:val="a0"/>
    <w:uiPriority w:val="22"/>
    <w:qFormat/>
    <w:rsid w:val="00E81594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3B40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8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9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927012"/>
  </w:style>
  <w:style w:type="character" w:customStyle="1" w:styleId="hps">
    <w:name w:val="hps"/>
    <w:basedOn w:val="a0"/>
    <w:rsid w:val="00927012"/>
  </w:style>
  <w:style w:type="paragraph" w:styleId="a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0EFE-7842-484A-85AB-3AD4FFF9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user</cp:lastModifiedBy>
  <cp:revision>2</cp:revision>
  <cp:lastPrinted>2014-09-30T09:37:00Z</cp:lastPrinted>
  <dcterms:created xsi:type="dcterms:W3CDTF">2018-09-18T06:36:00Z</dcterms:created>
  <dcterms:modified xsi:type="dcterms:W3CDTF">2018-09-18T06:36:00Z</dcterms:modified>
</cp:coreProperties>
</file>