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0F" w:rsidRDefault="00191E0F" w:rsidP="00191E0F">
      <w:pPr>
        <w:ind w:left="360"/>
        <w:jc w:val="center"/>
        <w:rPr>
          <w:rFonts w:eastAsia="Batang"/>
          <w:b/>
          <w:bCs/>
          <w:lang w:val="el-GR"/>
        </w:rPr>
      </w:pPr>
      <w:bookmarkStart w:id="0" w:name="_GoBack"/>
      <w:bookmarkEnd w:id="0"/>
      <w:r>
        <w:rPr>
          <w:rFonts w:eastAsia="Batang"/>
          <w:b/>
          <w:bCs/>
          <w:lang w:val="el-GR"/>
        </w:rPr>
        <w:t>ΑΠΟΣΠΑΣΜΑ</w:t>
      </w:r>
    </w:p>
    <w:p w:rsidR="00191E0F" w:rsidRDefault="00191E0F" w:rsidP="00191E0F">
      <w:pPr>
        <w:rPr>
          <w:rFonts w:eastAsia="Batang"/>
          <w:bCs/>
          <w:lang w:val="el-GR"/>
        </w:rPr>
      </w:pPr>
      <w:r>
        <w:rPr>
          <w:rFonts w:eastAsia="Batang"/>
          <w:bCs/>
          <w:lang w:val="el-GR"/>
        </w:rPr>
        <w:t>Από το πρακτικό της 25/16-12-2011 Συνεδρίασης του Δημοτικού Συμβουλίου Σαμοθράκης.</w:t>
      </w:r>
    </w:p>
    <w:p w:rsidR="00191E0F" w:rsidRDefault="00191E0F" w:rsidP="00191E0F">
      <w:pPr>
        <w:rPr>
          <w:rFonts w:eastAsia="Batang"/>
          <w:lang w:val="el-GR"/>
        </w:rPr>
      </w:pPr>
      <w:r>
        <w:rPr>
          <w:rFonts w:eastAsia="Batang"/>
          <w:lang w:val="el-GR"/>
        </w:rPr>
        <w:t>Στη Σαμοθράκη σήμερα 16-12-2011 ημέρα Παρασκευή  και ώρα 19.00 μ.μ. το Δημοτικό Συμβούλιο Σαμοθράκης συνήλθε σε έκτακτη συνεδρίαση ύστερα από την αρίθμ. 7882/12-12-2011 πρόσκληση του Προέδρου του Δημοτικού Συμβουλίου που Συμβουλίου (παρ. 4 του άρθρου 95, άρθρα 96 και 97 του Ν.3463/2006) που δημοσιεύτηκε στον ειδικό χώρο ανακοινώσεων (πίνακα ανακοινώσεων) του Δήμου Σαμοθράκης και επιδόθηκε με αποδεικτικό στους Συμβούλους κατά την ημέρα και ώρα της συνεδρίασης  για συζήτηση και λήψη αποφάσεων στα κατωτέρω θέματα της ημερήσιας διάταξης.</w:t>
      </w:r>
    </w:p>
    <w:p w:rsidR="00191E0F" w:rsidRDefault="00191E0F" w:rsidP="00191E0F">
      <w:pPr>
        <w:rPr>
          <w:rFonts w:eastAsia="Batang"/>
          <w:lang w:val="el-GR"/>
        </w:rPr>
      </w:pPr>
      <w:r>
        <w:rPr>
          <w:b/>
        </w:rPr>
        <w:t xml:space="preserve">ΘΕΜΑ: </w:t>
      </w:r>
      <w:r>
        <w:rPr>
          <w:b/>
          <w:lang w:val="el-GR"/>
        </w:rPr>
        <w:t>11</w:t>
      </w:r>
      <w:r>
        <w:rPr>
          <w:b/>
          <w:vertAlign w:val="superscript"/>
          <w:lang w:val="el-GR"/>
        </w:rPr>
        <w:t>ο</w:t>
      </w:r>
      <w:r>
        <w:rPr>
          <w:b/>
          <w:lang w:val="el-GR"/>
        </w:rPr>
        <w:t xml:space="preserve"> «Περί επανακαθορισμού κοινόχρηστων χώρων των οποίων επιτρέπεται η παραχώρηση χρήσης και αναπροσαρμογής τελών»</w:t>
      </w:r>
    </w:p>
    <w:p w:rsidR="00191E0F" w:rsidRDefault="00191E0F" w:rsidP="00191E0F">
      <w:pPr>
        <w:rPr>
          <w:b/>
          <w:lang w:val="el-GR"/>
        </w:rPr>
      </w:pPr>
      <w:r>
        <w:rPr>
          <w:b/>
          <w:lang w:val="el-GR"/>
        </w:rPr>
        <w:t>Αρίθμ. Απόφαση: 312</w:t>
      </w:r>
    </w:p>
    <w:p w:rsidR="00191E0F" w:rsidRDefault="00191E0F" w:rsidP="00191E0F">
      <w:pPr>
        <w:rPr>
          <w:rFonts w:eastAsia="Batang"/>
          <w:b/>
          <w:bCs/>
          <w:lang w:val="el-GR"/>
        </w:rPr>
      </w:pPr>
      <w:r>
        <w:rPr>
          <w:rFonts w:eastAsia="Batang"/>
          <w:lang w:val="el-GR"/>
        </w:rPr>
        <w:t xml:space="preserve">Πριν από την έναρξη της συνεδρίασης αυτής ο Πρόεδρος του Δημοτικού Συμβουλίου διαπίστωσε ότι σε σύνολο δεκαεπτά (17) συμβούλων               </w:t>
      </w:r>
    </w:p>
    <w:p w:rsidR="00191E0F" w:rsidRDefault="00191E0F" w:rsidP="00191E0F">
      <w:pPr>
        <w:rPr>
          <w:rFonts w:eastAsia="Batang"/>
          <w:b/>
          <w:bCs/>
          <w:lang w:val="el-GR"/>
        </w:rPr>
      </w:pPr>
      <w:r>
        <w:rPr>
          <w:rFonts w:eastAsia="Batang"/>
          <w:lang w:val="el-GR"/>
        </w:rPr>
        <w:t xml:space="preserve"> ήταν:      </w:t>
      </w:r>
      <w:r>
        <w:rPr>
          <w:rFonts w:eastAsia="Batang"/>
          <w:b/>
          <w:lang w:val="el-GR"/>
        </w:rPr>
        <w:t>ΠΑ</w:t>
      </w:r>
      <w:r>
        <w:rPr>
          <w:rFonts w:eastAsia="Batang"/>
          <w:b/>
          <w:bCs/>
          <w:lang w:val="el-GR"/>
        </w:rPr>
        <w:t>ΡΟΝΤΕΣ                                                     ΑΠΟΝΤΕΣ</w:t>
      </w:r>
    </w:p>
    <w:p w:rsidR="00191E0F" w:rsidRDefault="00191E0F" w:rsidP="00191E0F">
      <w:pPr>
        <w:rPr>
          <w:rFonts w:eastAsia="Batang"/>
          <w:bCs/>
          <w:lang w:val="el-GR"/>
        </w:rPr>
      </w:pPr>
      <w:r>
        <w:rPr>
          <w:rFonts w:eastAsia="Batang"/>
          <w:bCs/>
          <w:lang w:val="el-GR"/>
        </w:rPr>
        <w:t>1. Βίτσας Αθανάσιος-   Δημ.     Σύμβουλος 1. Ατζανός Παναγιώτης- Δημ. Σύμβουλος</w:t>
      </w:r>
    </w:p>
    <w:p w:rsidR="00191E0F" w:rsidRDefault="00191E0F" w:rsidP="00191E0F">
      <w:pPr>
        <w:rPr>
          <w:rFonts w:eastAsia="Batang"/>
          <w:lang w:val="el-GR"/>
        </w:rPr>
      </w:pPr>
      <w:r>
        <w:rPr>
          <w:rFonts w:eastAsia="Batang"/>
          <w:lang w:val="el-GR"/>
        </w:rPr>
        <w:t>2. Γαλατούμος Νικόλαος-    »           »          2. Σκαρλατίδης Αθανάσιος- »      »</w:t>
      </w:r>
    </w:p>
    <w:p w:rsidR="00191E0F" w:rsidRDefault="00191E0F" w:rsidP="00191E0F">
      <w:pPr>
        <w:rPr>
          <w:rFonts w:eastAsia="Batang"/>
          <w:lang w:val="el-GR"/>
        </w:rPr>
      </w:pPr>
      <w:r>
        <w:rPr>
          <w:rFonts w:eastAsia="Batang"/>
          <w:lang w:val="el-GR"/>
        </w:rPr>
        <w:t xml:space="preserve">3. Γερονικολάκης Ανέστης- »           »             (Δεν προσήλθαν αν και κλήθηκαν </w:t>
      </w:r>
    </w:p>
    <w:p w:rsidR="00191E0F" w:rsidRDefault="00191E0F" w:rsidP="00191E0F">
      <w:pPr>
        <w:rPr>
          <w:rFonts w:eastAsia="Batang"/>
          <w:lang w:val="el-GR"/>
        </w:rPr>
      </w:pPr>
      <w:r>
        <w:rPr>
          <w:rFonts w:eastAsia="Batang"/>
          <w:lang w:val="el-GR"/>
        </w:rPr>
        <w:t>4. Γιαννέλου Πολύμνια  –    »           »               νόμιμα)</w:t>
      </w:r>
    </w:p>
    <w:p w:rsidR="00191E0F" w:rsidRDefault="00191E0F" w:rsidP="00191E0F">
      <w:pPr>
        <w:rPr>
          <w:rFonts w:eastAsia="Batang"/>
          <w:lang w:val="el-GR"/>
        </w:rPr>
      </w:pPr>
      <w:r>
        <w:rPr>
          <w:rFonts w:eastAsia="Batang"/>
          <w:lang w:val="el-GR"/>
        </w:rPr>
        <w:t>5. Γλήνιας Πέτρος-               »           »</w:t>
      </w:r>
    </w:p>
    <w:p w:rsidR="00191E0F" w:rsidRDefault="00191E0F" w:rsidP="00191E0F">
      <w:pPr>
        <w:rPr>
          <w:rFonts w:eastAsia="Batang"/>
          <w:lang w:val="el-GR"/>
        </w:rPr>
      </w:pPr>
      <w:r>
        <w:rPr>
          <w:rFonts w:eastAsia="Batang"/>
          <w:lang w:val="el-GR"/>
        </w:rPr>
        <w:t>6. Γιαραμάνης Χρήστος-      »           »</w:t>
      </w:r>
    </w:p>
    <w:p w:rsidR="00191E0F" w:rsidRDefault="00191E0F" w:rsidP="00191E0F">
      <w:pPr>
        <w:rPr>
          <w:rFonts w:eastAsia="Batang"/>
          <w:lang w:val="el-GR"/>
        </w:rPr>
      </w:pPr>
      <w:r>
        <w:rPr>
          <w:rFonts w:eastAsia="Batang"/>
          <w:lang w:val="el-GR"/>
        </w:rPr>
        <w:t>7. Κεχαγιόγλου Στυλιανός-  »            »</w:t>
      </w:r>
    </w:p>
    <w:p w:rsidR="00191E0F" w:rsidRDefault="00191E0F" w:rsidP="00191E0F">
      <w:pPr>
        <w:rPr>
          <w:rFonts w:eastAsia="Batang"/>
          <w:lang w:val="el-GR"/>
        </w:rPr>
      </w:pPr>
      <w:r>
        <w:rPr>
          <w:rFonts w:eastAsia="Batang"/>
          <w:lang w:val="el-GR"/>
        </w:rPr>
        <w:t>8. Κυλίμος Νικόλαος-          »            »</w:t>
      </w:r>
    </w:p>
    <w:p w:rsidR="00191E0F" w:rsidRDefault="00191E0F" w:rsidP="00191E0F">
      <w:pPr>
        <w:rPr>
          <w:rFonts w:eastAsia="Batang"/>
          <w:lang w:val="el-GR"/>
        </w:rPr>
      </w:pPr>
      <w:r>
        <w:rPr>
          <w:rFonts w:eastAsia="Batang"/>
          <w:lang w:val="el-GR"/>
        </w:rPr>
        <w:t>9. Λαζανδρέας Κων/νος-      »            »</w:t>
      </w:r>
    </w:p>
    <w:p w:rsidR="00191E0F" w:rsidRDefault="00191E0F" w:rsidP="00191E0F">
      <w:pPr>
        <w:rPr>
          <w:rFonts w:eastAsia="Batang"/>
          <w:bCs/>
          <w:lang w:val="el-GR"/>
        </w:rPr>
      </w:pPr>
      <w:r>
        <w:rPr>
          <w:rFonts w:eastAsia="Batang"/>
          <w:lang w:val="el-GR"/>
        </w:rPr>
        <w:t xml:space="preserve">10. Λάζαρης Αλέξανδρος –  »            »          </w:t>
      </w:r>
    </w:p>
    <w:p w:rsidR="00191E0F" w:rsidRDefault="00191E0F" w:rsidP="00191E0F">
      <w:pPr>
        <w:rPr>
          <w:rFonts w:eastAsia="Batang"/>
          <w:lang w:val="el-GR"/>
        </w:rPr>
      </w:pPr>
      <w:r>
        <w:rPr>
          <w:rFonts w:eastAsia="Batang"/>
          <w:lang w:val="el-GR"/>
        </w:rPr>
        <w:t>11. Μόραλη- Αντωνάκη Χρυσάνθη-»»</w:t>
      </w:r>
    </w:p>
    <w:p w:rsidR="00191E0F" w:rsidRDefault="00191E0F" w:rsidP="00191E0F">
      <w:pPr>
        <w:rPr>
          <w:rFonts w:eastAsia="Batang"/>
          <w:lang w:val="el-GR"/>
        </w:rPr>
      </w:pPr>
      <w:r>
        <w:rPr>
          <w:rFonts w:eastAsia="Batang"/>
          <w:lang w:val="el-GR"/>
        </w:rPr>
        <w:t>12. Παπάς Παναγιώτης –      »            »</w:t>
      </w:r>
    </w:p>
    <w:p w:rsidR="00191E0F" w:rsidRDefault="00191E0F" w:rsidP="00191E0F">
      <w:pPr>
        <w:rPr>
          <w:rFonts w:eastAsia="Batang"/>
          <w:lang w:val="el-GR"/>
        </w:rPr>
      </w:pPr>
      <w:r>
        <w:rPr>
          <w:rFonts w:eastAsia="Batang"/>
          <w:lang w:val="el-GR"/>
        </w:rPr>
        <w:t xml:space="preserve">13. Σαράντος Κωνσταντίνος- »           » </w:t>
      </w:r>
    </w:p>
    <w:p w:rsidR="00191E0F" w:rsidRDefault="00191E0F" w:rsidP="00191E0F">
      <w:pPr>
        <w:rPr>
          <w:rFonts w:eastAsia="Batang"/>
          <w:bCs/>
          <w:lang w:val="el-GR"/>
        </w:rPr>
      </w:pPr>
      <w:r>
        <w:rPr>
          <w:rFonts w:eastAsia="Batang"/>
          <w:bCs/>
          <w:lang w:val="el-GR"/>
        </w:rPr>
        <w:t>14. Σταφυλάς Ιωάννης –         »           »</w:t>
      </w:r>
    </w:p>
    <w:p w:rsidR="00191E0F" w:rsidRDefault="00191E0F" w:rsidP="00191E0F">
      <w:pPr>
        <w:rPr>
          <w:rFonts w:eastAsia="Batang"/>
          <w:lang w:val="el-GR"/>
        </w:rPr>
      </w:pPr>
      <w:r>
        <w:rPr>
          <w:rFonts w:eastAsia="Batang"/>
          <w:bCs/>
          <w:lang w:val="el-GR"/>
        </w:rPr>
        <w:t xml:space="preserve">15. </w:t>
      </w:r>
      <w:r>
        <w:rPr>
          <w:rFonts w:eastAsia="Batang"/>
          <w:lang w:val="el-GR"/>
        </w:rPr>
        <w:t xml:space="preserve">Χατζηστεφάνου Αθανάσιος- »      »              </w:t>
      </w:r>
    </w:p>
    <w:p w:rsidR="00191E0F" w:rsidRDefault="00191E0F" w:rsidP="00191E0F">
      <w:pPr>
        <w:rPr>
          <w:rFonts w:eastAsia="Batang"/>
          <w:lang w:val="el-GR"/>
        </w:rPr>
      </w:pPr>
      <w:r>
        <w:rPr>
          <w:rFonts w:eastAsia="Batang"/>
          <w:lang w:val="el-GR"/>
        </w:rPr>
        <w:t>Στη συνεδρίαση παραβρέθηκε και ο Δήμαρχος κ. Χανός Γεώργιος και η υπάλληλος του Δήμου Καπετανίδου Στυλιανή για την τήρηση των πρακτικών της συνεδρίασης.</w:t>
      </w:r>
    </w:p>
    <w:p w:rsidR="00191E0F" w:rsidRDefault="00191E0F" w:rsidP="00191E0F">
      <w:pPr>
        <w:rPr>
          <w:rFonts w:eastAsia="Batang"/>
          <w:lang w:val="el-GR"/>
        </w:rPr>
      </w:pPr>
      <w:r>
        <w:rPr>
          <w:rFonts w:eastAsia="Batang"/>
          <w:lang w:val="el-GR"/>
        </w:rPr>
        <w:t>Ύστερα από την διαπίστωση της απαρτίας ο Πρόεδρος  του Δημοτικού Συμβουλίου κήρυξε την έναρξη της συνεδρίασης και εισηγήθηκε ως κατωτέρω:</w:t>
      </w:r>
    </w:p>
    <w:p w:rsidR="00191E0F" w:rsidRDefault="00191E0F" w:rsidP="00191E0F">
      <w:pPr>
        <w:jc w:val="both"/>
        <w:rPr>
          <w:rFonts w:cs="Tahoma"/>
        </w:rPr>
      </w:pPr>
      <w:r>
        <w:rPr>
          <w:rFonts w:cs="Tahoma"/>
        </w:rPr>
        <w:t>Σύμφωνα με το</w:t>
      </w:r>
      <w:r>
        <w:rPr>
          <w:rFonts w:cs="Tahoma"/>
          <w:b/>
          <w:bCs/>
          <w:color w:val="0000FF"/>
        </w:rPr>
        <w:t xml:space="preserve"> </w:t>
      </w:r>
      <w:r>
        <w:rPr>
          <w:rFonts w:cs="Tahoma"/>
        </w:rPr>
        <w:t>άρθρο 13 παρ.3 του Β.Δ 24-9/20-10-1958, όπως αντικαταστάθηκε από το άρθρο 3 του Ν.1080/80</w:t>
      </w:r>
      <w:r>
        <w:rPr>
          <w:rFonts w:cs="Tahoma"/>
          <w:b/>
          <w:bCs/>
          <w:color w:val="0000FF"/>
        </w:rPr>
        <w:t xml:space="preserve"> </w:t>
      </w:r>
      <w:r>
        <w:rPr>
          <w:rFonts w:cs="Tahoma"/>
        </w:rPr>
        <w:t xml:space="preserve">«Το τέλος ορίζεται ετήσιο δι’ αποφάσεως του δημοτικού ή κοινοτικού συμβουλίου κατά τετραγωνικό μέτρο, ανεξαρτήτως χρόνου χρήσεως και αναλόγως της περιοχής της πόλεως ή χωρίου εις την οποίαν κείται η χρησιμοποιούμενος χώρος. Επί χρησιμοποιήσεως των ανωτέρω χώρων ως προσθήκης καταστήματος, το τέλος ορίζεται στο  διπλάσιο. </w:t>
      </w:r>
    </w:p>
    <w:p w:rsidR="00191E0F" w:rsidRDefault="00191E0F" w:rsidP="00191E0F">
      <w:pPr>
        <w:jc w:val="both"/>
        <w:rPr>
          <w:rFonts w:cs="Tahoma"/>
        </w:rPr>
      </w:pPr>
      <w:r>
        <w:rPr>
          <w:rFonts w:cs="Tahoma"/>
        </w:rPr>
        <w:t>Ειδικά σε περιπτώσεις κατάληψης πεζοδρομίου ή οδού από αυτούς που εκτελούν οποιασδήποτε φύσεως τεχνικοοικοδομικές εργασίες, το τέλος ορίζεται μηνιαίο κατά ζώνες με απόφαση του συμβουλίου και κατά τετραγωνικό μέτρο. Για την πληρωμή αυτού του τέλους ευθύνονται από κοινού και εις ολόκληρο εκείνος που πήρε την άδεια οικοδομής καθώς και ο ιδιοκτήτης του ακινήτου»</w:t>
      </w:r>
    </w:p>
    <w:p w:rsidR="00191E0F" w:rsidRDefault="00191E0F" w:rsidP="00191E0F">
      <w:pPr>
        <w:jc w:val="both"/>
        <w:rPr>
          <w:rFonts w:cs="Tahoma"/>
          <w:lang w:val="el-GR"/>
        </w:rPr>
      </w:pPr>
      <w:r>
        <w:rPr>
          <w:rFonts w:cs="Tahoma"/>
        </w:rPr>
        <w:lastRenderedPageBreak/>
        <w:t>Με την υπ’ αριθμόν</w:t>
      </w:r>
      <w:r>
        <w:rPr>
          <w:rFonts w:cs="Tahoma"/>
          <w:lang w:val="el-GR"/>
        </w:rPr>
        <w:t xml:space="preserve"> 128/2005</w:t>
      </w:r>
      <w:r>
        <w:rPr>
          <w:rFonts w:cs="Tahoma"/>
        </w:rPr>
        <w:t>. απόφαση του δημοτικού συμβουλίου καθορίστηκαν τα τμήματα των κοινόχρηστων χώρων που μπορούν να χρησιμοποιηθούν για τοποθέτηση τραπεζιών και καθισμάτων</w:t>
      </w:r>
      <w:r>
        <w:rPr>
          <w:rFonts w:cs="Tahoma"/>
          <w:lang w:val="el-GR"/>
        </w:rPr>
        <w:t xml:space="preserve">, </w:t>
      </w:r>
      <w:r>
        <w:rPr>
          <w:rFonts w:cs="Tahoma"/>
        </w:rPr>
        <w:t>για τοποθέτηση εμπορευμάτω</w:t>
      </w:r>
      <w:r>
        <w:rPr>
          <w:rFonts w:cs="Tahoma"/>
          <w:lang w:val="el-GR"/>
        </w:rPr>
        <w:t>ν,</w:t>
      </w:r>
      <w:r>
        <w:rPr>
          <w:rFonts w:cs="Tahoma"/>
        </w:rPr>
        <w:t xml:space="preserve"> για οικοδομικοτεχνικές εργασίες</w:t>
      </w:r>
      <w:r>
        <w:rPr>
          <w:rFonts w:cs="Tahoma"/>
          <w:lang w:val="el-GR"/>
        </w:rPr>
        <w:t xml:space="preserve"> και καντίνες</w:t>
      </w:r>
    </w:p>
    <w:p w:rsidR="00191E0F" w:rsidRDefault="00191E0F" w:rsidP="00191E0F">
      <w:pPr>
        <w:ind w:firstLine="720"/>
        <w:jc w:val="both"/>
      </w:pPr>
      <w:r>
        <w:t xml:space="preserve">Με την περίπτωση ζ της παρ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191E0F" w:rsidRDefault="00191E0F" w:rsidP="00191E0F">
      <w:pPr>
        <w:jc w:val="both"/>
        <w:rPr>
          <w:rFonts w:cs="Tahoma"/>
          <w:bCs/>
          <w:lang w:val="el-GR"/>
        </w:rPr>
      </w:pPr>
      <w:r>
        <w:rPr>
          <w:rFonts w:cs="Tahoma"/>
          <w:bCs/>
        </w:rPr>
        <w:t xml:space="preserve">Καλείται το δημοτικό συμβούλιο να καθορίσει το τέλος που επιβάλλεται για κάθε μία από τις παραπάνω περιπτώσεις χρήσης κοινόχρηστων χώρων για το έτος </w:t>
      </w:r>
      <w:r>
        <w:rPr>
          <w:rFonts w:cs="Tahoma"/>
          <w:bCs/>
          <w:lang w:val="el-GR"/>
        </w:rPr>
        <w:t>2012</w:t>
      </w:r>
    </w:p>
    <w:p w:rsidR="00191E0F" w:rsidRDefault="00191E0F" w:rsidP="00191E0F">
      <w:pPr>
        <w:jc w:val="both"/>
        <w:rPr>
          <w:rFonts w:cs="Tahoma"/>
          <w:bCs/>
        </w:rPr>
      </w:pPr>
      <w:r>
        <w:rPr>
          <w:rFonts w:cs="Tahoma"/>
          <w:bCs/>
        </w:rPr>
        <w:t>Το Δ.Σ. αφού άκουσε τον Πρόεδρο και έλαβε υπόψη του:</w:t>
      </w:r>
    </w:p>
    <w:p w:rsidR="00191E0F" w:rsidRDefault="00191E0F" w:rsidP="00191E0F">
      <w:pPr>
        <w:jc w:val="both"/>
        <w:rPr>
          <w:rFonts w:cs="Tahoma"/>
        </w:rPr>
      </w:pPr>
      <w:r>
        <w:rPr>
          <w:rFonts w:cs="Tahoma"/>
          <w:bCs/>
        </w:rPr>
        <w:t xml:space="preserve">1) τις διατάξεις του  </w:t>
      </w:r>
      <w:r>
        <w:rPr>
          <w:rFonts w:cs="Tahoma"/>
        </w:rPr>
        <w:t>άρθρου 13 του Β.Δ 24-9/20-10-1958, όπως αντικαταστάθηκε από το άρθρο 3 του Ν.1080/80</w:t>
      </w:r>
    </w:p>
    <w:p w:rsidR="00191E0F" w:rsidRDefault="00191E0F" w:rsidP="00191E0F">
      <w:pPr>
        <w:jc w:val="both"/>
        <w:rPr>
          <w:rFonts w:cs="Tahoma"/>
          <w:lang w:val="el-GR"/>
        </w:rPr>
      </w:pPr>
      <w:r>
        <w:rPr>
          <w:rFonts w:cs="Tahoma"/>
        </w:rPr>
        <w:t xml:space="preserve">2) την υπ’ αριθμόν </w:t>
      </w:r>
      <w:r>
        <w:rPr>
          <w:rFonts w:cs="Tahoma"/>
          <w:lang w:val="el-GR"/>
        </w:rPr>
        <w:t xml:space="preserve">128/2005 </w:t>
      </w:r>
      <w:r>
        <w:rPr>
          <w:rFonts w:cs="Tahoma"/>
        </w:rPr>
        <w:t>απόφαση του</w:t>
      </w:r>
      <w:r>
        <w:rPr>
          <w:rFonts w:cs="Tahoma"/>
          <w:lang w:val="el-GR"/>
        </w:rPr>
        <w:t xml:space="preserve"> Δημοτικού Συμβουλίου</w:t>
      </w:r>
    </w:p>
    <w:p w:rsidR="00191E0F" w:rsidRDefault="00191E0F" w:rsidP="00191E0F">
      <w:pPr>
        <w:jc w:val="both"/>
        <w:rPr>
          <w:rFonts w:cs="Tahoma"/>
        </w:rPr>
      </w:pPr>
      <w:r>
        <w:rPr>
          <w:rFonts w:ascii="Arial" w:hAnsi="Arial" w:cs="Arial"/>
        </w:rPr>
        <w:t xml:space="preserve">3) </w:t>
      </w:r>
      <w:r>
        <w:rPr>
          <w:rFonts w:cs="Tahoma"/>
        </w:rPr>
        <w:t>την απόφαση αριθ.</w:t>
      </w:r>
      <w:r>
        <w:rPr>
          <w:rFonts w:cs="Tahoma"/>
          <w:lang w:val="el-GR"/>
        </w:rPr>
        <w:t>85/2011</w:t>
      </w:r>
      <w:r>
        <w:rPr>
          <w:rFonts w:cs="Tahoma"/>
        </w:rPr>
        <w:t xml:space="preserve"> της οικονομικής επιτροπής με την οποία εισηγείται την επιβολή των τελών</w:t>
      </w:r>
    </w:p>
    <w:p w:rsidR="00191E0F" w:rsidRDefault="00191E0F" w:rsidP="00191E0F">
      <w:pPr>
        <w:jc w:val="both"/>
        <w:rPr>
          <w:rFonts w:cs="Tahoma"/>
        </w:rPr>
      </w:pPr>
      <w:r>
        <w:rPr>
          <w:rFonts w:cs="Tahoma"/>
        </w:rPr>
        <w:t>4) τις περιοχές στις οποίες βρίσκεται το κάθε τμήμα που παραχωρείται</w:t>
      </w:r>
    </w:p>
    <w:p w:rsidR="00191E0F" w:rsidRDefault="00191E0F" w:rsidP="00191E0F">
      <w:pPr>
        <w:pStyle w:val="Heading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Έπειτα από διαλογική συζήτηση </w:t>
      </w:r>
    </w:p>
    <w:p w:rsidR="00191E0F" w:rsidRDefault="00191E0F" w:rsidP="00191E0F">
      <w:pPr>
        <w:jc w:val="both"/>
        <w:rPr>
          <w:bCs/>
        </w:rPr>
      </w:pPr>
    </w:p>
    <w:p w:rsidR="00191E0F" w:rsidRDefault="00191E0F" w:rsidP="00191E0F">
      <w:pPr>
        <w:jc w:val="center"/>
        <w:rPr>
          <w:b/>
          <w:lang w:val="el-GR"/>
        </w:rPr>
      </w:pPr>
      <w:r>
        <w:rPr>
          <w:b/>
        </w:rPr>
        <w:t>ΑΠΟΦΑΣΙΖΕΙ ΟΜΟΦΩΝΑ</w:t>
      </w:r>
    </w:p>
    <w:p w:rsidR="00191E0F" w:rsidRDefault="00191E0F" w:rsidP="00191E0F">
      <w:pPr>
        <w:jc w:val="center"/>
        <w:rPr>
          <w:b/>
        </w:rPr>
      </w:pPr>
    </w:p>
    <w:p w:rsidR="00191E0F" w:rsidRDefault="00191E0F" w:rsidP="00191E0F">
      <w:pPr>
        <w:jc w:val="both"/>
        <w:rPr>
          <w:bCs/>
        </w:rPr>
      </w:pPr>
      <w:r>
        <w:rPr>
          <w:bCs/>
        </w:rPr>
        <w:t>Καθορίζει τα τέλη - δικαιώματα των κοινόχρηστων χώρων που μπορούν να χρησιμοποιηθούν, ως εξής:</w:t>
      </w:r>
    </w:p>
    <w:p w:rsidR="00191E0F" w:rsidRDefault="00191E0F" w:rsidP="00191E0F">
      <w:pPr>
        <w:rPr>
          <w:u w:val="single"/>
        </w:rPr>
      </w:pPr>
      <w:r>
        <w:rPr>
          <w:u w:val="single"/>
        </w:rPr>
        <w:t>Τραπεζοκαθίσματα:</w:t>
      </w:r>
    </w:p>
    <w:p w:rsidR="00191E0F" w:rsidRDefault="00191E0F" w:rsidP="00191E0F">
      <w:r>
        <w:t>Α. Πεζόδρομοι στον οικισμό Καμαριώτισσας.</w:t>
      </w:r>
    </w:p>
    <w:p w:rsidR="00191E0F" w:rsidRDefault="00191E0F" w:rsidP="00191E0F">
      <w:r>
        <w:t>Β. Πλατεία Ρηγόπουλου στον οικισμό Χώρας</w:t>
      </w:r>
    </w:p>
    <w:p w:rsidR="00191E0F" w:rsidRDefault="00191E0F" w:rsidP="00191E0F">
      <w:r>
        <w:t>Γ. Κεντρική πλατεία και κοινόχρηστοι χώροι στο κεντρικό καλτερίμι  οικισμού  Χώρας</w:t>
      </w:r>
    </w:p>
    <w:p w:rsidR="00191E0F" w:rsidRDefault="00191E0F" w:rsidP="00191E0F">
      <w:r>
        <w:t>Δ. Πλακόστρωτο στην περιοχή του πύργου στον οικισμό της Χώρας</w:t>
      </w:r>
    </w:p>
    <w:p w:rsidR="00191E0F" w:rsidRDefault="00191E0F" w:rsidP="00191E0F">
      <w:pPr>
        <w:rPr>
          <w:u w:val="single"/>
        </w:rPr>
      </w:pPr>
      <w:r>
        <w:rPr>
          <w:u w:val="single"/>
        </w:rPr>
        <w:t>Μικροπωλητές:</w:t>
      </w:r>
    </w:p>
    <w:p w:rsidR="00191E0F" w:rsidRDefault="00191E0F" w:rsidP="00191E0F">
      <w:r>
        <w:t xml:space="preserve">Α. Η πλατεία στην είσοδο της Χώρας </w:t>
      </w:r>
    </w:p>
    <w:p w:rsidR="00191E0F" w:rsidRDefault="00191E0F" w:rsidP="00191E0F">
      <w:r>
        <w:t>Β. Κεντρική πλατιά και πεζόδρομος στον οικισμό των Θέρμων από την πλευρά του υδροθεραπευτηρίου</w:t>
      </w:r>
    </w:p>
    <w:p w:rsidR="00191E0F" w:rsidRDefault="00191E0F" w:rsidP="00191E0F">
      <w:pPr>
        <w:rPr>
          <w:u w:val="single"/>
        </w:rPr>
      </w:pPr>
      <w:r>
        <w:rPr>
          <w:u w:val="single"/>
        </w:rPr>
        <w:t>Καντίνες:</w:t>
      </w:r>
    </w:p>
    <w:p w:rsidR="00191E0F" w:rsidRDefault="00191E0F" w:rsidP="00191E0F">
      <w:r>
        <w:t>Α. Πάρκινγκ στη θέση Εφκάς στην Χώρα</w:t>
      </w:r>
    </w:p>
    <w:p w:rsidR="00191E0F" w:rsidRDefault="00191E0F" w:rsidP="00191E0F">
      <w:r>
        <w:t>Β. Θέση παλαιά ΔΕΗ και Τουρκόβρυσα στην Καμαριώτισσα</w:t>
      </w:r>
    </w:p>
    <w:p w:rsidR="00191E0F" w:rsidRDefault="00191E0F" w:rsidP="00191E0F">
      <w:pPr>
        <w:rPr>
          <w:lang w:val="el-GR"/>
        </w:rPr>
      </w:pPr>
      <w:r>
        <w:t xml:space="preserve">Γ. Θέση προς Κάμπινγκ </w:t>
      </w:r>
    </w:p>
    <w:p w:rsidR="00191E0F" w:rsidRDefault="00191E0F" w:rsidP="00191E0F">
      <w:pPr>
        <w:rPr>
          <w:lang w:val="el-GR"/>
        </w:rPr>
      </w:pPr>
      <w:r>
        <w:rPr>
          <w:lang w:val="el-GR"/>
        </w:rPr>
        <w:t xml:space="preserve">2. Επιβάλλει από το έτος 2012 και εφ’ εξής τέλος χρήσης κοινόχρηστων χώρων ως εξής: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91E0F" w:rsidTr="00191E0F">
        <w:tc>
          <w:tcPr>
            <w:tcW w:w="2840" w:type="dxa"/>
            <w:tcBorders>
              <w:top w:val="single" w:sz="4" w:space="0" w:color="auto"/>
              <w:left w:val="single" w:sz="4" w:space="0" w:color="auto"/>
              <w:bottom w:val="single" w:sz="4" w:space="0" w:color="auto"/>
              <w:right w:val="single" w:sz="4" w:space="0" w:color="auto"/>
            </w:tcBorders>
            <w:hideMark/>
          </w:tcPr>
          <w:p w:rsidR="00191E0F" w:rsidRDefault="00191E0F">
            <w:pPr>
              <w:jc w:val="center"/>
              <w:rPr>
                <w:b/>
                <w:bCs/>
                <w:lang w:val="el-GR"/>
              </w:rPr>
            </w:pPr>
            <w:r>
              <w:rPr>
                <w:b/>
                <w:bCs/>
                <w:lang w:val="el-GR"/>
              </w:rPr>
              <w:t>Είδος χρήσης</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pStyle w:val="Heading1"/>
              <w:jc w:val="center"/>
              <w:rPr>
                <w:rFonts w:ascii="Times New Roman" w:hAnsi="Times New Roman" w:cs="Times New Roman"/>
                <w:sz w:val="24"/>
                <w:szCs w:val="24"/>
              </w:rPr>
            </w:pPr>
            <w:r>
              <w:rPr>
                <w:rFonts w:ascii="Times New Roman" w:hAnsi="Times New Roman" w:cs="Times New Roman"/>
                <w:sz w:val="24"/>
                <w:szCs w:val="24"/>
              </w:rPr>
              <w:t>Περιοχή ή Ζώνη</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jc w:val="center"/>
              <w:rPr>
                <w:b/>
                <w:bCs/>
                <w:lang w:val="el-GR"/>
              </w:rPr>
            </w:pPr>
            <w:r>
              <w:rPr>
                <w:b/>
                <w:bCs/>
                <w:lang w:val="el-GR"/>
              </w:rPr>
              <w:t>Πόσο σε € ανά τετραγωνικό μέτρο</w:t>
            </w:r>
          </w:p>
        </w:tc>
      </w:tr>
      <w:tr w:rsidR="00191E0F" w:rsidTr="00191E0F">
        <w:trPr>
          <w:cantSplit/>
          <w:trHeight w:val="278"/>
        </w:trPr>
        <w:tc>
          <w:tcPr>
            <w:tcW w:w="2840" w:type="dxa"/>
            <w:vMerge w:val="restart"/>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Τοποθέτηση τραπεζοκαθισμάτων</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Πλατείες που καθορίστηκαν ανωτέρω</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10,00 €</w:t>
            </w:r>
          </w:p>
        </w:tc>
      </w:tr>
      <w:tr w:rsidR="00191E0F" w:rsidTr="00191E0F">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0F" w:rsidRDefault="00191E0F">
            <w:pPr>
              <w:rPr>
                <w:lang w:val="el-GR"/>
              </w:rPr>
            </w:pP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Πεζοδρόμοι που καθορίστηκαν ανωτέρω</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10,00 €</w:t>
            </w:r>
          </w:p>
        </w:tc>
      </w:tr>
      <w:tr w:rsidR="00191E0F" w:rsidTr="00191E0F">
        <w:tc>
          <w:tcPr>
            <w:tcW w:w="2840"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Τοποθέτηση εμπορευμάτων</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Ανεξάρτητα από περιοχή ή ζώνη</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40,00 €</w:t>
            </w:r>
          </w:p>
        </w:tc>
      </w:tr>
      <w:tr w:rsidR="00191E0F" w:rsidTr="00191E0F">
        <w:tc>
          <w:tcPr>
            <w:tcW w:w="2840"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Οικοδομικές εργασίες</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Ανεξάρτητα από περιοχή ή ζώνη</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20,00 €</w:t>
            </w:r>
          </w:p>
        </w:tc>
      </w:tr>
      <w:tr w:rsidR="00191E0F" w:rsidTr="00191E0F">
        <w:tc>
          <w:tcPr>
            <w:tcW w:w="2840"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lastRenderedPageBreak/>
              <w:t>Μικροπωλητές</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Περιοχές που καθορίστηκαν ανωτέρω</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300,00 € (ανεξάρτητα από τα τετραγωνικά μέτρα που καταλαμβάνει)</w:t>
            </w:r>
          </w:p>
        </w:tc>
      </w:tr>
      <w:tr w:rsidR="00191E0F" w:rsidTr="00191E0F">
        <w:tc>
          <w:tcPr>
            <w:tcW w:w="2840"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Καντίνες</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Περιοχές που καθορίστηκαν ανωτέρω</w:t>
            </w:r>
          </w:p>
        </w:tc>
        <w:tc>
          <w:tcPr>
            <w:tcW w:w="2841" w:type="dxa"/>
            <w:tcBorders>
              <w:top w:val="single" w:sz="4" w:space="0" w:color="auto"/>
              <w:left w:val="single" w:sz="4" w:space="0" w:color="auto"/>
              <w:bottom w:val="single" w:sz="4" w:space="0" w:color="auto"/>
              <w:right w:val="single" w:sz="4" w:space="0" w:color="auto"/>
            </w:tcBorders>
            <w:hideMark/>
          </w:tcPr>
          <w:p w:rsidR="00191E0F" w:rsidRDefault="00191E0F">
            <w:pPr>
              <w:rPr>
                <w:lang w:val="el-GR"/>
              </w:rPr>
            </w:pPr>
            <w:r>
              <w:rPr>
                <w:lang w:val="el-GR"/>
              </w:rPr>
              <w:t xml:space="preserve">600,00 € </w:t>
            </w:r>
          </w:p>
        </w:tc>
      </w:tr>
    </w:tbl>
    <w:p w:rsidR="00191E0F" w:rsidRDefault="00191E0F" w:rsidP="00191E0F">
      <w:pPr>
        <w:rPr>
          <w:lang w:val="el-GR"/>
        </w:rPr>
      </w:pPr>
    </w:p>
    <w:p w:rsidR="00191E0F" w:rsidRPr="00191E0F" w:rsidRDefault="00191E0F" w:rsidP="00191E0F">
      <w:pPr>
        <w:rPr>
          <w:lang w:val="el-GR"/>
        </w:rPr>
      </w:pPr>
      <w:r>
        <w:rPr>
          <w:lang w:val="el-GR"/>
        </w:rPr>
        <w:t>Το τέλος για τα είδη της χρήσης που δεν προβλέπονται ενδεχομένως στον παραπάνω πίνακα, θα ορίζονται σε κάθε συγκεκριμένη περίπτωση από το Δημοτικό Συμβούλιο.</w:t>
      </w:r>
    </w:p>
    <w:p w:rsidR="00191E0F" w:rsidRPr="00191E0F" w:rsidRDefault="00191E0F" w:rsidP="00191E0F">
      <w:pPr>
        <w:rPr>
          <w:lang w:val="el-GR"/>
        </w:rPr>
      </w:pPr>
    </w:p>
    <w:p w:rsidR="00191E0F" w:rsidRDefault="00191E0F" w:rsidP="00191E0F">
      <w:pPr>
        <w:rPr>
          <w:lang w:val="el-GR"/>
        </w:rPr>
      </w:pPr>
      <w:r>
        <w:rPr>
          <w:lang w:val="el-GR"/>
        </w:rPr>
        <w:t>3. Το παραπάνω τέλος οφείλεται για ολόκληρο το έτος έστω και αν γίνεται χρήση του χώρου για διάστημα βραχύτερο του έτους ενώ για τις οικοδομικές εργασίες θα είναι ανά μήνα.</w:t>
      </w:r>
    </w:p>
    <w:p w:rsidR="00191E0F" w:rsidRDefault="00191E0F" w:rsidP="00191E0F">
      <w:pPr>
        <w:pStyle w:val="Heading1"/>
        <w:spacing w:before="0" w:after="0"/>
        <w:rPr>
          <w:rFonts w:ascii="Times New Roman" w:hAnsi="Times New Roman" w:cs="Times New Roman"/>
          <w:sz w:val="24"/>
          <w:szCs w:val="24"/>
          <w:lang w:val="el-GR"/>
        </w:rPr>
      </w:pPr>
    </w:p>
    <w:p w:rsidR="00191E0F" w:rsidRDefault="00191E0F" w:rsidP="00191E0F">
      <w:pPr>
        <w:pStyle w:val="Heading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Η παρούσα απόφαση θα δημοσιευτεί σύμφωνα με τις διατάξεις του άρθρο 66 του Β.Δ 24-9/20-10-1958. </w:t>
      </w:r>
    </w:p>
    <w:p w:rsidR="00191E0F" w:rsidRDefault="00191E0F" w:rsidP="00191E0F"/>
    <w:p w:rsidR="00191E0F" w:rsidRDefault="00191E0F" w:rsidP="00191E0F">
      <w:pPr>
        <w:rPr>
          <w:lang w:val="el-GR"/>
        </w:rPr>
      </w:pPr>
      <w:r>
        <w:rPr>
          <w:lang w:val="el-GR"/>
        </w:rPr>
        <w:t>Η απόφαση αυτή ισχύει μέχρι τροποποιήσεως ή καταργήσεώς της και οποιαδήποτε προγενέστερή της παύει να ισχύει.</w:t>
      </w:r>
    </w:p>
    <w:p w:rsidR="00191E0F" w:rsidRDefault="00191E0F" w:rsidP="00191E0F">
      <w:pPr>
        <w:rPr>
          <w:lang w:val="el-GR"/>
        </w:rPr>
      </w:pPr>
    </w:p>
    <w:p w:rsidR="00191E0F" w:rsidRDefault="00191E0F" w:rsidP="00191E0F">
      <w:pPr>
        <w:pStyle w:val="BodyTextIndent3"/>
        <w:spacing w:after="0"/>
        <w:ind w:left="0"/>
        <w:jc w:val="both"/>
        <w:rPr>
          <w:sz w:val="24"/>
          <w:szCs w:val="24"/>
          <w:lang w:val="el-GR"/>
        </w:rPr>
      </w:pPr>
      <w:r>
        <w:rPr>
          <w:sz w:val="24"/>
          <w:szCs w:val="24"/>
          <w:lang w:val="el-GR"/>
        </w:rPr>
        <w:t>Αφού συντάχθηκε και αναγνώστηκε το πρακτικό αυτό υπογράφεται όπως παρακάτω:</w:t>
      </w:r>
    </w:p>
    <w:p w:rsidR="00191E0F" w:rsidRDefault="00191E0F" w:rsidP="00191E0F">
      <w:pPr>
        <w:pStyle w:val="BodyTextIndent3"/>
        <w:spacing w:after="0"/>
        <w:ind w:left="0"/>
        <w:jc w:val="both"/>
        <w:rPr>
          <w:sz w:val="24"/>
          <w:szCs w:val="24"/>
          <w:lang w:val="el-GR"/>
        </w:rPr>
      </w:pPr>
    </w:p>
    <w:p w:rsidR="00191E0F" w:rsidRDefault="00191E0F" w:rsidP="00191E0F">
      <w:pPr>
        <w:rPr>
          <w:rFonts w:eastAsia="Batang"/>
          <w:lang w:val="el-GR"/>
        </w:rPr>
      </w:pPr>
      <w:r>
        <w:rPr>
          <w:rFonts w:eastAsia="Batang"/>
          <w:lang w:val="el-GR"/>
        </w:rPr>
        <w:t>Ο Πρόεδρος του Δημοτικού Συμβουλίου                  Τα Μέλη            Ο Γραμματέας</w:t>
      </w:r>
    </w:p>
    <w:p w:rsidR="00191E0F" w:rsidRDefault="00191E0F" w:rsidP="00191E0F">
      <w:pPr>
        <w:rPr>
          <w:rFonts w:eastAsia="Batang"/>
          <w:lang w:val="el-GR"/>
        </w:rPr>
      </w:pPr>
      <w:r>
        <w:rPr>
          <w:rFonts w:eastAsia="Batang"/>
          <w:lang w:val="el-GR"/>
        </w:rPr>
        <w:t xml:space="preserve">      Χατζηστεφάνου Αθανάσιος                             (Υπογραφές) </w:t>
      </w:r>
    </w:p>
    <w:p w:rsidR="00191E0F" w:rsidRDefault="00191E0F" w:rsidP="00191E0F">
      <w:pPr>
        <w:rPr>
          <w:rFonts w:eastAsia="Batang"/>
          <w:lang w:val="el-GR"/>
        </w:rPr>
      </w:pPr>
    </w:p>
    <w:p w:rsidR="00191E0F" w:rsidRDefault="00191E0F" w:rsidP="00191E0F">
      <w:pPr>
        <w:rPr>
          <w:rFonts w:eastAsia="Batang"/>
          <w:lang w:val="el-GR"/>
        </w:rPr>
      </w:pPr>
      <w:r>
        <w:rPr>
          <w:rFonts w:eastAsia="Batang"/>
          <w:lang w:val="el-GR"/>
        </w:rPr>
        <w:tab/>
        <w:t>Ο Δήμαρχος                      Ακριβές Απόσπασμα</w:t>
      </w:r>
    </w:p>
    <w:p w:rsidR="00191E0F" w:rsidRDefault="00191E0F" w:rsidP="00191E0F">
      <w:pPr>
        <w:rPr>
          <w:rFonts w:eastAsia="Batang"/>
          <w:lang w:val="el-GR"/>
        </w:rPr>
      </w:pPr>
      <w:r>
        <w:rPr>
          <w:rFonts w:eastAsia="Batang"/>
          <w:lang w:val="el-GR"/>
        </w:rPr>
        <w:t xml:space="preserve">        Χανός Γεώργιος                           Ο Δήμαρχος</w:t>
      </w:r>
    </w:p>
    <w:p w:rsidR="00191E0F" w:rsidRDefault="00191E0F" w:rsidP="00191E0F">
      <w:pPr>
        <w:rPr>
          <w:rFonts w:eastAsia="Batang"/>
          <w:lang w:val="el-GR"/>
        </w:rPr>
      </w:pPr>
    </w:p>
    <w:p w:rsidR="00191E0F" w:rsidRDefault="00191E0F" w:rsidP="00191E0F">
      <w:pPr>
        <w:rPr>
          <w:rFonts w:eastAsia="Batang"/>
          <w:lang w:val="el-GR"/>
        </w:rPr>
      </w:pPr>
      <w:r>
        <w:rPr>
          <w:rFonts w:eastAsia="Batang"/>
          <w:lang w:val="el-GR"/>
        </w:rPr>
        <w:tab/>
      </w:r>
      <w:r>
        <w:rPr>
          <w:rFonts w:eastAsia="Batang"/>
          <w:lang w:val="el-GR"/>
        </w:rPr>
        <w:tab/>
      </w:r>
      <w:r>
        <w:rPr>
          <w:rFonts w:eastAsia="Batang"/>
          <w:lang w:val="el-GR"/>
        </w:rPr>
        <w:tab/>
      </w:r>
      <w:r>
        <w:rPr>
          <w:rFonts w:eastAsia="Batang"/>
          <w:lang w:val="el-GR"/>
        </w:rPr>
        <w:tab/>
      </w:r>
      <w:r>
        <w:rPr>
          <w:rFonts w:eastAsia="Batang"/>
          <w:lang w:val="el-GR"/>
        </w:rPr>
        <w:tab/>
        <w:t xml:space="preserve">Χανός Γεώργιος </w:t>
      </w:r>
    </w:p>
    <w:p w:rsidR="00191E0F" w:rsidRDefault="00191E0F" w:rsidP="00191E0F">
      <w:pPr>
        <w:rPr>
          <w:rFonts w:eastAsia="Batang"/>
          <w:lang w:val="el-GR"/>
        </w:rPr>
      </w:pPr>
    </w:p>
    <w:p w:rsidR="00191E0F" w:rsidRDefault="00191E0F" w:rsidP="00191E0F">
      <w:pPr>
        <w:rPr>
          <w:lang w:val="el-GR"/>
        </w:rPr>
      </w:pPr>
    </w:p>
    <w:p w:rsidR="00191E0F" w:rsidRDefault="00191E0F" w:rsidP="00191E0F">
      <w:pPr>
        <w:rPr>
          <w:rFonts w:eastAsia="Batang"/>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ind w:left="360"/>
        <w:jc w:val="center"/>
        <w:rPr>
          <w:rFonts w:eastAsia="Batang"/>
          <w:b/>
          <w:bCs/>
          <w:lang w:val="el-GR"/>
        </w:rPr>
      </w:pPr>
    </w:p>
    <w:p w:rsidR="00191E0F" w:rsidRDefault="00191E0F" w:rsidP="00191E0F">
      <w:pPr>
        <w:rPr>
          <w:lang w:val="el-GR"/>
        </w:rPr>
      </w:pPr>
    </w:p>
    <w:p w:rsidR="00191E0F" w:rsidRDefault="00191E0F" w:rsidP="00191E0F">
      <w:pPr>
        <w:rPr>
          <w:rFonts w:ascii="Tahoma" w:hAnsi="Tahoma" w:cs="Tahoma"/>
          <w:sz w:val="20"/>
          <w:szCs w:val="20"/>
        </w:rPr>
      </w:pPr>
    </w:p>
    <w:p w:rsidR="00191E0F" w:rsidRDefault="00191E0F" w:rsidP="00191E0F">
      <w:pPr>
        <w:jc w:val="both"/>
      </w:pPr>
    </w:p>
    <w:p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0F"/>
    <w:rsid w:val="00191E0F"/>
    <w:rsid w:val="006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91470-42DF-4D83-A834-40A25A2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0F"/>
    <w:pPr>
      <w:spacing w:after="0" w:line="240" w:lineRule="auto"/>
    </w:pPr>
    <w:rPr>
      <w:rFonts w:ascii="Times New Roman" w:eastAsia="Times New Roman" w:hAnsi="Times New Roman" w:cs="Times New Roman"/>
      <w:sz w:val="24"/>
      <w:szCs w:val="24"/>
      <w:lang w:val="ru-RU" w:eastAsia="el-GR"/>
    </w:rPr>
  </w:style>
  <w:style w:type="paragraph" w:styleId="Heading1">
    <w:name w:val="heading 1"/>
    <w:basedOn w:val="Normal"/>
    <w:next w:val="Normal"/>
    <w:link w:val="Heading1Char"/>
    <w:qFormat/>
    <w:rsid w:val="00191E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E0F"/>
    <w:rPr>
      <w:rFonts w:ascii="Arial" w:eastAsia="Times New Roman" w:hAnsi="Arial" w:cs="Arial"/>
      <w:b/>
      <w:bCs/>
      <w:kern w:val="32"/>
      <w:sz w:val="32"/>
      <w:szCs w:val="32"/>
      <w:lang w:val="ru-RU" w:eastAsia="el-GR"/>
    </w:rPr>
  </w:style>
  <w:style w:type="paragraph" w:styleId="BodyTextIndent3">
    <w:name w:val="Body Text Indent 3"/>
    <w:basedOn w:val="Normal"/>
    <w:link w:val="BodyTextIndent3Char"/>
    <w:semiHidden/>
    <w:unhideWhenUsed/>
    <w:rsid w:val="00191E0F"/>
    <w:pPr>
      <w:spacing w:after="120"/>
      <w:ind w:left="283"/>
    </w:pPr>
    <w:rPr>
      <w:sz w:val="16"/>
      <w:szCs w:val="16"/>
    </w:rPr>
  </w:style>
  <w:style w:type="character" w:customStyle="1" w:styleId="BodyTextIndent3Char">
    <w:name w:val="Body Text Indent 3 Char"/>
    <w:basedOn w:val="DefaultParagraphFont"/>
    <w:link w:val="BodyTextIndent3"/>
    <w:semiHidden/>
    <w:rsid w:val="00191E0F"/>
    <w:rPr>
      <w:rFonts w:ascii="Times New Roman" w:eastAsia="Times New Roman" w:hAnsi="Times New Roman" w:cs="Times New Roman"/>
      <w:sz w:val="16"/>
      <w:szCs w:val="16"/>
      <w:lang w:val="ru-RU"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5204</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2021-04-14T09:23:00Z</dcterms:created>
  <dcterms:modified xsi:type="dcterms:W3CDTF">2021-04-14T09:24:00Z</dcterms:modified>
</cp:coreProperties>
</file>